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74E" w:rsidRDefault="00F0674E" w:rsidP="00F0674E">
      <w:pPr>
        <w:jc w:val="center"/>
        <w:rPr>
          <w:rFonts w:ascii="Aptos" w:eastAsia="Times New Roman" w:hAnsi="Aptos"/>
          <w:b/>
          <w:color w:val="000000"/>
        </w:rPr>
      </w:pPr>
      <w:r w:rsidRPr="00F0674E">
        <w:rPr>
          <w:rFonts w:ascii="Aptos" w:eastAsia="Times New Roman" w:hAnsi="Aptos"/>
          <w:b/>
          <w:color w:val="000000"/>
        </w:rPr>
        <w:t>REGISTRATION &amp; REPORTING</w:t>
      </w:r>
    </w:p>
    <w:p w:rsidR="00F0674E" w:rsidRPr="00F0674E" w:rsidRDefault="00F0674E" w:rsidP="00F0674E">
      <w:pPr>
        <w:jc w:val="center"/>
        <w:rPr>
          <w:rFonts w:ascii="Aptos" w:eastAsia="Times New Roman" w:hAnsi="Aptos"/>
          <w:b/>
          <w:color w:val="000000"/>
        </w:rPr>
      </w:pPr>
    </w:p>
    <w:p w:rsidR="00D5308F" w:rsidRDefault="00D5308F" w:rsidP="000A1A11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 xml:space="preserve">Incorporated bodies are required to register with DMIRS </w:t>
      </w:r>
    </w:p>
    <w:p w:rsidR="000A1A11" w:rsidRDefault="00D5308F" w:rsidP="000A1A11">
      <w:pPr>
        <w:rPr>
          <w:rFonts w:ascii="Aptos" w:eastAsia="Times New Roman" w:hAnsi="Aptos"/>
          <w:color w:val="000000"/>
        </w:rPr>
      </w:pPr>
      <w:hyperlink r:id="rId4" w:history="1">
        <w:r w:rsidRPr="00003B37">
          <w:rPr>
            <w:rStyle w:val="Hyperlink"/>
            <w:rFonts w:ascii="Aptos" w:eastAsia="Times New Roman" w:hAnsi="Aptos"/>
          </w:rPr>
          <w:t>https://associations.commerce.wa.gov.au/associations/public/publicHomePage.jspx</w:t>
        </w:r>
      </w:hyperlink>
    </w:p>
    <w:p w:rsidR="00D5308F" w:rsidRDefault="00D5308F" w:rsidP="000A1A11">
      <w:pPr>
        <w:rPr>
          <w:rFonts w:ascii="Aptos" w:eastAsia="Times New Roman" w:hAnsi="Aptos"/>
          <w:color w:val="000000"/>
        </w:rPr>
      </w:pPr>
      <w:hyperlink r:id="rId5" w:history="1">
        <w:r w:rsidRPr="00003B37">
          <w:rPr>
            <w:rStyle w:val="Hyperlink"/>
            <w:rFonts w:ascii="Aptos" w:eastAsia="Times New Roman" w:hAnsi="Aptos"/>
          </w:rPr>
          <w:t>https://associations.commerce.wa.gov.au/associations/public/enrol.jspx</w:t>
        </w:r>
      </w:hyperlink>
    </w:p>
    <w:p w:rsidR="00D5308F" w:rsidRDefault="00D5308F" w:rsidP="000A1A11">
      <w:pPr>
        <w:rPr>
          <w:rFonts w:ascii="Aptos" w:eastAsia="Times New Roman" w:hAnsi="Aptos"/>
          <w:color w:val="000000"/>
        </w:rPr>
      </w:pPr>
    </w:p>
    <w:p w:rsidR="00F0674E" w:rsidRDefault="00F0674E" w:rsidP="000A1A11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We must also lodge information statements within 6 months of AGM:</w:t>
      </w:r>
    </w:p>
    <w:p w:rsidR="00F0674E" w:rsidRDefault="00F0674E" w:rsidP="000A1A11">
      <w:pPr>
        <w:rPr>
          <w:rFonts w:ascii="Aptos" w:eastAsia="Times New Roman" w:hAnsi="Aptos"/>
          <w:color w:val="000000"/>
        </w:rPr>
      </w:pPr>
    </w:p>
    <w:tbl>
      <w:tblPr>
        <w:tblStyle w:val="TableGrid"/>
        <w:tblW w:w="4988" w:type="pct"/>
        <w:tblBorders>
          <w:top w:val="dotted" w:sz="4" w:space="0" w:color="4F81BD" w:themeColor="accent1"/>
          <w:left w:val="dotted" w:sz="4" w:space="0" w:color="4F81BD" w:themeColor="accent1"/>
          <w:bottom w:val="dotted" w:sz="4" w:space="0" w:color="4F81BD" w:themeColor="accent1"/>
          <w:right w:val="dotted" w:sz="4" w:space="0" w:color="4F81BD" w:themeColor="accent1"/>
          <w:insideH w:val="dotted" w:sz="4" w:space="0" w:color="4F81BD" w:themeColor="accent1"/>
          <w:insideV w:val="dotted" w:sz="4" w:space="0" w:color="4F81BD" w:themeColor="accent1"/>
        </w:tblBorders>
        <w:tblLayout w:type="fixed"/>
        <w:tblLook w:val="04A0"/>
      </w:tblPr>
      <w:tblGrid>
        <w:gridCol w:w="3626"/>
        <w:gridCol w:w="1137"/>
        <w:gridCol w:w="4790"/>
      </w:tblGrid>
      <w:tr w:rsidR="00F0674E" w:rsidTr="004910D8">
        <w:trPr>
          <w:trHeight w:val="510"/>
        </w:trPr>
        <w:tc>
          <w:tcPr>
            <w:tcW w:w="1898" w:type="pct"/>
            <w:tcBorders>
              <w:top w:val="dotted" w:sz="4" w:space="0" w:color="8064A2" w:themeColor="accent4"/>
              <w:left w:val="dotted" w:sz="4" w:space="0" w:color="8064A2" w:themeColor="accent4"/>
              <w:bottom w:val="dotted" w:sz="4" w:space="0" w:color="8064A2" w:themeColor="accent4"/>
              <w:right w:val="dotted" w:sz="4" w:space="0" w:color="8064A2" w:themeColor="accent4"/>
            </w:tcBorders>
            <w:shd w:val="clear" w:color="auto" w:fill="FFFFFF" w:themeFill="background1"/>
            <w:vAlign w:val="center"/>
          </w:tcPr>
          <w:p w:rsidR="00F0674E" w:rsidRPr="00E566C0" w:rsidRDefault="00F0674E" w:rsidP="004910D8">
            <w:pPr>
              <w:jc w:val="center"/>
              <w:rPr>
                <w:rFonts w:ascii="Arial" w:hAnsi="Arial" w:cs="Arial"/>
                <w:b/>
              </w:rPr>
            </w:pPr>
            <w:r w:rsidRPr="007B0475">
              <w:rPr>
                <w:rFonts w:ascii="Arial" w:hAnsi="Arial" w:cs="Arial"/>
                <w:b/>
              </w:rPr>
              <w:t>Requirement of the Act</w:t>
            </w:r>
          </w:p>
        </w:tc>
        <w:tc>
          <w:tcPr>
            <w:tcW w:w="595" w:type="pct"/>
            <w:tcBorders>
              <w:top w:val="dotted" w:sz="4" w:space="0" w:color="8064A2" w:themeColor="accent4"/>
              <w:left w:val="dotted" w:sz="4" w:space="0" w:color="8064A2" w:themeColor="accent4"/>
              <w:bottom w:val="dotted" w:sz="4" w:space="0" w:color="8064A2" w:themeColor="accent4"/>
              <w:right w:val="dotted" w:sz="4" w:space="0" w:color="8064A2" w:themeColor="accent4"/>
            </w:tcBorders>
            <w:shd w:val="clear" w:color="auto" w:fill="FFFFFF" w:themeFill="background1"/>
            <w:vAlign w:val="center"/>
          </w:tcPr>
          <w:p w:rsidR="00F0674E" w:rsidRDefault="00F0674E" w:rsidP="004910D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Complied</w:t>
            </w:r>
          </w:p>
        </w:tc>
        <w:tc>
          <w:tcPr>
            <w:tcW w:w="2507" w:type="pct"/>
            <w:tcBorders>
              <w:top w:val="dotted" w:sz="4" w:space="0" w:color="8064A2" w:themeColor="accent4"/>
              <w:left w:val="dotted" w:sz="4" w:space="0" w:color="8064A2" w:themeColor="accent4"/>
              <w:bottom w:val="dotted" w:sz="4" w:space="0" w:color="8064A2" w:themeColor="accent4"/>
              <w:right w:val="dotted" w:sz="4" w:space="0" w:color="8064A2" w:themeColor="accent4"/>
            </w:tcBorders>
            <w:shd w:val="clear" w:color="auto" w:fill="FFFFFF" w:themeFill="background1"/>
            <w:vAlign w:val="center"/>
          </w:tcPr>
          <w:p w:rsidR="00F0674E" w:rsidRDefault="00F0674E" w:rsidP="004910D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Guidance notes</w:t>
            </w:r>
          </w:p>
        </w:tc>
      </w:tr>
      <w:tr w:rsidR="00F0674E" w:rsidRPr="00575DF6" w:rsidTr="004910D8">
        <w:tc>
          <w:tcPr>
            <w:tcW w:w="1898" w:type="pct"/>
            <w:tcBorders>
              <w:top w:val="dotted" w:sz="4" w:space="0" w:color="8064A2" w:themeColor="accent4"/>
              <w:left w:val="dotted" w:sz="4" w:space="0" w:color="8064A2" w:themeColor="accent4"/>
              <w:bottom w:val="dotted" w:sz="4" w:space="0" w:color="8064A2" w:themeColor="accent4"/>
              <w:right w:val="dotted" w:sz="4" w:space="0" w:color="8064A2" w:themeColor="accent4"/>
            </w:tcBorders>
            <w:shd w:val="clear" w:color="auto" w:fill="FFFFFF" w:themeFill="background1"/>
          </w:tcPr>
          <w:p w:rsidR="00F0674E" w:rsidRPr="00546CA8" w:rsidRDefault="00F0674E" w:rsidP="004910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Association contact details lodged with Consumer Protection are up to date (</w:t>
            </w:r>
            <w:r w:rsidRPr="00C373FA">
              <w:rPr>
                <w:rFonts w:ascii="Arial" w:hAnsi="Arial" w:cs="Arial"/>
                <w:b/>
              </w:rPr>
              <w:t>s1</w:t>
            </w:r>
            <w:r>
              <w:rPr>
                <w:rFonts w:ascii="Arial" w:hAnsi="Arial" w:cs="Arial"/>
                <w:b/>
              </w:rPr>
              <w:t>75</w:t>
            </w:r>
            <w:r>
              <w:rPr>
                <w:rFonts w:ascii="Arial" w:hAnsi="Arial" w:cs="Arial"/>
              </w:rPr>
              <w:t xml:space="preserve">). </w:t>
            </w:r>
          </w:p>
        </w:tc>
        <w:tc>
          <w:tcPr>
            <w:tcW w:w="595" w:type="pct"/>
            <w:tcBorders>
              <w:top w:val="dotted" w:sz="4" w:space="0" w:color="8064A2" w:themeColor="accent4"/>
              <w:left w:val="dotted" w:sz="4" w:space="0" w:color="8064A2" w:themeColor="accent4"/>
              <w:bottom w:val="dotted" w:sz="4" w:space="0" w:color="8064A2" w:themeColor="accent4"/>
              <w:right w:val="dotted" w:sz="4" w:space="0" w:color="8064A2" w:themeColor="accent4"/>
            </w:tcBorders>
            <w:shd w:val="clear" w:color="auto" w:fill="FFFFFF" w:themeFill="background1"/>
          </w:tcPr>
          <w:p w:rsidR="00F0674E" w:rsidRPr="00F836FB" w:rsidRDefault="00F0674E" w:rsidP="004910D8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-612834197"/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Yes</w:t>
            </w:r>
          </w:p>
          <w:p w:rsidR="00F0674E" w:rsidRPr="00F836FB" w:rsidRDefault="00F0674E" w:rsidP="004910D8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534472855"/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No</w:t>
            </w:r>
          </w:p>
        </w:tc>
        <w:tc>
          <w:tcPr>
            <w:tcW w:w="2507" w:type="pct"/>
            <w:tcBorders>
              <w:top w:val="dotted" w:sz="4" w:space="0" w:color="8064A2" w:themeColor="accent4"/>
              <w:left w:val="dotted" w:sz="4" w:space="0" w:color="8064A2" w:themeColor="accent4"/>
              <w:bottom w:val="dotted" w:sz="4" w:space="0" w:color="8064A2" w:themeColor="accent4"/>
              <w:right w:val="dotted" w:sz="4" w:space="0" w:color="8064A2" w:themeColor="accent4"/>
            </w:tcBorders>
            <w:shd w:val="clear" w:color="auto" w:fill="FFFFFF" w:themeFill="background1"/>
          </w:tcPr>
          <w:p w:rsidR="00F0674E" w:rsidRPr="00575DF6" w:rsidRDefault="00F0674E" w:rsidP="004910D8">
            <w:pPr>
              <w:spacing w:after="100"/>
              <w:rPr>
                <w:rStyle w:val="Hyperlink"/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When a change occurs </w:t>
            </w:r>
            <w:r w:rsidRPr="00575DF6">
              <w:rPr>
                <w:rFonts w:ascii="Arial" w:hAnsi="Arial" w:cs="Arial"/>
              </w:rPr>
              <w:t xml:space="preserve">the address must </w:t>
            </w:r>
            <w:r>
              <w:rPr>
                <w:rFonts w:ascii="Arial" w:hAnsi="Arial" w:cs="Arial"/>
              </w:rPr>
              <w:t>updated</w:t>
            </w:r>
            <w:r w:rsidRPr="00575DF6">
              <w:rPr>
                <w:rFonts w:ascii="Arial" w:hAnsi="Arial" w:cs="Arial"/>
              </w:rPr>
              <w:t xml:space="preserve"> within 28 days.</w:t>
            </w:r>
            <w:r>
              <w:rPr>
                <w:rFonts w:ascii="Arial" w:hAnsi="Arial" w:cs="Arial"/>
              </w:rPr>
              <w:t xml:space="preserve"> The notice can be made using </w:t>
            </w:r>
            <w:hyperlink r:id="rId6" w:history="1">
              <w:proofErr w:type="spellStart"/>
              <w:r w:rsidRPr="00A77236">
                <w:rPr>
                  <w:rStyle w:val="Hyperlink"/>
                  <w:rFonts w:ascii="Arial" w:hAnsi="Arial" w:cs="Arial"/>
                </w:rPr>
                <w:t>AssociationsOnline</w:t>
              </w:r>
              <w:proofErr w:type="spellEnd"/>
            </w:hyperlink>
            <w:r w:rsidRPr="005013C6">
              <w:rPr>
                <w:rStyle w:val="Hyperlink"/>
                <w:rFonts w:ascii="Arial" w:hAnsi="Arial" w:cs="Arial"/>
              </w:rPr>
              <w:t>.</w:t>
            </w:r>
          </w:p>
          <w:p w:rsidR="00F0674E" w:rsidRPr="00575DF6" w:rsidRDefault="00F0674E" w:rsidP="004910D8">
            <w:pPr>
              <w:spacing w:after="100"/>
              <w:rPr>
                <w:rFonts w:ascii="Arial" w:hAnsi="Arial" w:cs="Arial"/>
              </w:rPr>
            </w:pPr>
            <w:r w:rsidRPr="00575DF6">
              <w:rPr>
                <w:rStyle w:val="Hyperlink"/>
                <w:rFonts w:ascii="Arial" w:hAnsi="Arial" w:cs="Arial"/>
                <w:b/>
              </w:rPr>
              <w:t>Help guide:</w:t>
            </w:r>
            <w:r w:rsidRPr="00575DF6">
              <w:rPr>
                <w:rStyle w:val="Hyperlink"/>
                <w:rFonts w:ascii="Arial" w:hAnsi="Arial" w:cs="Arial"/>
              </w:rPr>
              <w:t xml:space="preserve"> </w:t>
            </w:r>
            <w:hyperlink r:id="rId7" w:history="1">
              <w:r w:rsidRPr="005013C6">
                <w:rPr>
                  <w:rStyle w:val="Hyperlink"/>
                  <w:rFonts w:ascii="Arial" w:hAnsi="Arial" w:cs="Arial"/>
                  <w:color w:val="8064A2" w:themeColor="accent4"/>
                </w:rPr>
                <w:t>Managing my association’s details</w:t>
              </w:r>
            </w:hyperlink>
          </w:p>
        </w:tc>
      </w:tr>
      <w:tr w:rsidR="00F0674E" w:rsidRPr="00575DF6" w:rsidTr="004910D8">
        <w:trPr>
          <w:trHeight w:val="419"/>
        </w:trPr>
        <w:tc>
          <w:tcPr>
            <w:tcW w:w="1898" w:type="pct"/>
            <w:tcBorders>
              <w:top w:val="dotted" w:sz="4" w:space="0" w:color="8064A2" w:themeColor="accent4"/>
              <w:left w:val="dotted" w:sz="4" w:space="0" w:color="8064A2" w:themeColor="accent4"/>
              <w:bottom w:val="dotted" w:sz="4" w:space="0" w:color="8064A2" w:themeColor="accent4"/>
              <w:right w:val="dotted" w:sz="4" w:space="0" w:color="8064A2" w:themeColor="accent4"/>
            </w:tcBorders>
            <w:shd w:val="clear" w:color="auto" w:fill="FFFFFF" w:themeFill="background1"/>
          </w:tcPr>
          <w:p w:rsidR="00F0674E" w:rsidRDefault="00F0674E" w:rsidP="004910D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Associations Information Statement submitted (</w:t>
            </w:r>
            <w:r w:rsidRPr="00C373FA">
              <w:rPr>
                <w:rFonts w:ascii="Arial" w:hAnsi="Arial" w:cs="Arial"/>
                <w:b/>
              </w:rPr>
              <w:t>s156</w:t>
            </w:r>
            <w:r>
              <w:rPr>
                <w:rFonts w:ascii="Arial" w:hAnsi="Arial" w:cs="Arial"/>
              </w:rPr>
              <w:t>).</w:t>
            </w:r>
          </w:p>
        </w:tc>
        <w:tc>
          <w:tcPr>
            <w:tcW w:w="595" w:type="pct"/>
            <w:tcBorders>
              <w:top w:val="dotted" w:sz="4" w:space="0" w:color="8064A2" w:themeColor="accent4"/>
              <w:left w:val="dotted" w:sz="4" w:space="0" w:color="8064A2" w:themeColor="accent4"/>
              <w:bottom w:val="dotted" w:sz="4" w:space="0" w:color="8064A2" w:themeColor="accent4"/>
              <w:right w:val="dotted" w:sz="4" w:space="0" w:color="8064A2" w:themeColor="accent4"/>
            </w:tcBorders>
            <w:shd w:val="clear" w:color="auto" w:fill="FFFFFF" w:themeFill="background1"/>
          </w:tcPr>
          <w:p w:rsidR="00F0674E" w:rsidRPr="00F836FB" w:rsidRDefault="00F0674E" w:rsidP="004910D8">
            <w:pPr>
              <w:spacing w:after="40"/>
              <w:rPr>
                <w:rFonts w:ascii="Arial" w:hAnsi="Arial" w:cs="Arial"/>
                <w:color w:val="000000" w:themeColor="text1"/>
                <w:sz w:val="24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-1270314926"/>
              </w:sdtPr>
              <w:sdtContent>
                <w:r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Yes</w:t>
            </w:r>
          </w:p>
          <w:p w:rsidR="00F0674E" w:rsidRPr="00F836FB" w:rsidRDefault="00F0674E" w:rsidP="004910D8">
            <w:pPr>
              <w:rPr>
                <w:rFonts w:ascii="Arial" w:hAnsi="Arial" w:cs="Arial"/>
                <w:color w:val="000000" w:themeColor="text1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4"/>
                </w:rPr>
                <w:id w:val="171382712"/>
              </w:sdtPr>
              <w:sdtContent>
                <w:r w:rsidRPr="00F836FB">
                  <w:rPr>
                    <w:rFonts w:ascii="MS Gothic" w:eastAsia="MS Gothic" w:hAnsi="MS Gothic" w:cs="Arial" w:hint="eastAsia"/>
                    <w:color w:val="000000" w:themeColor="text1"/>
                    <w:sz w:val="24"/>
                  </w:rPr>
                  <w:t>☐</w:t>
                </w:r>
              </w:sdtContent>
            </w:sdt>
            <w:r w:rsidRPr="00F836FB">
              <w:rPr>
                <w:rFonts w:ascii="Arial" w:hAnsi="Arial" w:cs="Arial"/>
                <w:color w:val="000000" w:themeColor="text1"/>
                <w:sz w:val="24"/>
              </w:rPr>
              <w:t xml:space="preserve"> No</w:t>
            </w:r>
          </w:p>
        </w:tc>
        <w:tc>
          <w:tcPr>
            <w:tcW w:w="2507" w:type="pct"/>
            <w:tcBorders>
              <w:top w:val="dotted" w:sz="4" w:space="0" w:color="8064A2" w:themeColor="accent4"/>
              <w:left w:val="dotted" w:sz="4" w:space="0" w:color="8064A2" w:themeColor="accent4"/>
              <w:bottom w:val="dotted" w:sz="4" w:space="0" w:color="8064A2" w:themeColor="accent4"/>
              <w:right w:val="dotted" w:sz="4" w:space="0" w:color="8064A2" w:themeColor="accent4"/>
            </w:tcBorders>
            <w:shd w:val="clear" w:color="auto" w:fill="FFFFFF" w:themeFill="background1"/>
          </w:tcPr>
          <w:p w:rsidR="00F0674E" w:rsidRPr="00575DF6" w:rsidRDefault="00F0674E" w:rsidP="004910D8">
            <w:pPr>
              <w:spacing w:after="100"/>
              <w:rPr>
                <w:rFonts w:ascii="Arial" w:hAnsi="Arial" w:cs="Arial"/>
              </w:rPr>
            </w:pPr>
            <w:r w:rsidRPr="00575DF6">
              <w:rPr>
                <w:rFonts w:ascii="Arial" w:hAnsi="Arial" w:cs="Arial"/>
              </w:rPr>
              <w:t>An information statement must be lodged every year within 6 months after the end of the association’s financial year.</w:t>
            </w:r>
          </w:p>
          <w:p w:rsidR="00F0674E" w:rsidRPr="00575DF6" w:rsidRDefault="00F0674E" w:rsidP="004910D8">
            <w:pPr>
              <w:spacing w:after="100"/>
              <w:rPr>
                <w:rFonts w:ascii="Arial" w:hAnsi="Arial" w:cs="Arial"/>
              </w:rPr>
            </w:pPr>
            <w:r w:rsidRPr="00575DF6">
              <w:rPr>
                <w:rFonts w:ascii="Arial" w:hAnsi="Arial" w:cs="Arial"/>
                <w:b/>
              </w:rPr>
              <w:t xml:space="preserve">Video: </w:t>
            </w:r>
            <w:hyperlink r:id="rId8" w:history="1">
              <w:r w:rsidRPr="005013C6">
                <w:rPr>
                  <w:rStyle w:val="Hyperlink"/>
                  <w:rFonts w:ascii="Arial" w:hAnsi="Arial" w:cs="Arial"/>
                  <w:color w:val="8064A2" w:themeColor="accent4"/>
                </w:rPr>
                <w:t>Lodge annual information statement</w:t>
              </w:r>
            </w:hyperlink>
            <w:r w:rsidRPr="00575DF6">
              <w:rPr>
                <w:rFonts w:ascii="Arial" w:hAnsi="Arial" w:cs="Arial"/>
              </w:rPr>
              <w:t xml:space="preserve"> </w:t>
            </w:r>
          </w:p>
        </w:tc>
      </w:tr>
    </w:tbl>
    <w:p w:rsidR="00D5308F" w:rsidRDefault="00D5308F" w:rsidP="000A1A11">
      <w:pPr>
        <w:rPr>
          <w:rFonts w:ascii="Aptos" w:eastAsia="Times New Roman" w:hAnsi="Aptos"/>
          <w:color w:val="000000"/>
        </w:rPr>
      </w:pPr>
    </w:p>
    <w:p w:rsidR="00F0674E" w:rsidRDefault="00F0674E" w:rsidP="000A1A11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 xml:space="preserve">For more </w:t>
      </w:r>
      <w:r>
        <w:rPr>
          <w:rFonts w:ascii="Aptos" w:eastAsia="Times New Roman" w:hAnsi="Aptos" w:hint="eastAsia"/>
          <w:color w:val="000000"/>
        </w:rPr>
        <w:t>information</w:t>
      </w:r>
      <w:r>
        <w:rPr>
          <w:rFonts w:ascii="Aptos" w:eastAsia="Times New Roman" w:hAnsi="Aptos"/>
          <w:color w:val="000000"/>
        </w:rPr>
        <w:t xml:space="preserve">, see Annex </w:t>
      </w:r>
      <w:proofErr w:type="gramStart"/>
      <w:r>
        <w:rPr>
          <w:rFonts w:ascii="Aptos" w:eastAsia="Times New Roman" w:hAnsi="Aptos"/>
          <w:color w:val="000000"/>
        </w:rPr>
        <w:t>A</w:t>
      </w:r>
      <w:proofErr w:type="gramEnd"/>
      <w:r>
        <w:rPr>
          <w:rFonts w:ascii="Aptos" w:eastAsia="Times New Roman" w:hAnsi="Aptos"/>
          <w:color w:val="000000"/>
        </w:rPr>
        <w:t xml:space="preserve"> Associations Self Checklist</w:t>
      </w:r>
    </w:p>
    <w:p w:rsidR="00F0674E" w:rsidRDefault="00F0674E" w:rsidP="000A1A11">
      <w:pPr>
        <w:rPr>
          <w:rFonts w:ascii="Aptos" w:eastAsia="Times New Roman" w:hAnsi="Aptos"/>
          <w:color w:val="000000"/>
        </w:rPr>
      </w:pPr>
    </w:p>
    <w:p w:rsidR="00F0674E" w:rsidRDefault="00F0674E" w:rsidP="000A1A11">
      <w:pPr>
        <w:rPr>
          <w:rFonts w:ascii="Aptos" w:eastAsia="Times New Roman" w:hAnsi="Aptos"/>
          <w:color w:val="000000"/>
        </w:rPr>
      </w:pPr>
    </w:p>
    <w:p w:rsidR="00F0674E" w:rsidRDefault="00F0674E" w:rsidP="00F0674E">
      <w:pPr>
        <w:jc w:val="center"/>
        <w:rPr>
          <w:rFonts w:ascii="Aptos" w:eastAsia="Times New Roman" w:hAnsi="Aptos"/>
          <w:b/>
          <w:color w:val="000000"/>
        </w:rPr>
      </w:pPr>
      <w:r w:rsidRPr="00F0674E">
        <w:rPr>
          <w:rFonts w:ascii="Aptos" w:eastAsia="Times New Roman" w:hAnsi="Aptos"/>
          <w:b/>
          <w:color w:val="000000"/>
        </w:rPr>
        <w:t>TAX</w:t>
      </w:r>
    </w:p>
    <w:p w:rsidR="00F0674E" w:rsidRPr="00F0674E" w:rsidRDefault="00F0674E" w:rsidP="00F0674E">
      <w:pPr>
        <w:jc w:val="center"/>
        <w:rPr>
          <w:rFonts w:ascii="Aptos" w:eastAsia="Times New Roman" w:hAnsi="Aptos"/>
          <w:b/>
          <w:color w:val="000000"/>
        </w:rPr>
      </w:pPr>
    </w:p>
    <w:p w:rsidR="00F0674E" w:rsidRDefault="00F0674E" w:rsidP="000A1A11">
      <w:pPr>
        <w:rPr>
          <w:rFonts w:ascii="Aptos" w:eastAsia="Times New Roman" w:hAnsi="Aptos"/>
          <w:color w:val="000000"/>
        </w:rPr>
      </w:pPr>
      <w:r>
        <w:rPr>
          <w:rFonts w:ascii="Aptos" w:eastAsia="Times New Roman" w:hAnsi="Aptos"/>
          <w:color w:val="000000"/>
        </w:rPr>
        <w:t>With effect 1 July 24, Associations are also required to complete a self assessment:</w:t>
      </w:r>
    </w:p>
    <w:p w:rsidR="00F0674E" w:rsidRDefault="00F0674E" w:rsidP="000A1A11">
      <w:pPr>
        <w:rPr>
          <w:rFonts w:ascii="Aptos" w:eastAsia="Times New Roman" w:hAnsi="Aptos"/>
          <w:color w:val="000000"/>
        </w:rPr>
      </w:pPr>
    </w:p>
    <w:p w:rsidR="000A1A11" w:rsidRDefault="000A1A11" w:rsidP="000A1A11">
      <w:pPr>
        <w:rPr>
          <w:rFonts w:ascii="Aptos" w:eastAsia="Times New Roman" w:hAnsi="Aptos"/>
          <w:color w:val="000000"/>
        </w:rPr>
      </w:pPr>
      <w:hyperlink r:id="rId9" w:history="1">
        <w:r>
          <w:rPr>
            <w:rStyle w:val="Hyperlink"/>
            <w:rFonts w:ascii="Aptos" w:eastAsia="Times New Roman" w:hAnsi="Aptos"/>
          </w:rPr>
          <w:t>https://tv.ato.gov.au/section/c-b6bh5x9</w:t>
        </w:r>
      </w:hyperlink>
    </w:p>
    <w:tbl>
      <w:tblPr>
        <w:tblW w:w="5000" w:type="pct"/>
        <w:tblCellSpacing w:w="15" w:type="dxa"/>
        <w:tblBorders>
          <w:top w:val="single" w:sz="6" w:space="0" w:color="C8C8C8"/>
          <w:left w:val="single" w:sz="6" w:space="0" w:color="C8C8C8"/>
          <w:bottom w:val="single" w:sz="6" w:space="0" w:color="C8C8C8"/>
          <w:right w:val="single" w:sz="6" w:space="0" w:color="C8C8C8"/>
        </w:tblBorders>
        <w:tblCellMar>
          <w:top w:w="180" w:type="dxa"/>
          <w:left w:w="180" w:type="dxa"/>
          <w:bottom w:w="180" w:type="dxa"/>
          <w:right w:w="540" w:type="dxa"/>
        </w:tblCellMar>
        <w:tblLook w:val="04A0"/>
      </w:tblPr>
      <w:tblGrid>
        <w:gridCol w:w="4395"/>
        <w:gridCol w:w="5745"/>
      </w:tblGrid>
      <w:tr w:rsidR="000A1A11" w:rsidTr="000A1A1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A1A11" w:rsidRDefault="000A1A11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drawing>
                <wp:inline distT="0" distB="0" distL="0" distR="0">
                  <wp:extent cx="2286000" cy="1198880"/>
                  <wp:effectExtent l="19050" t="0" r="0" b="0"/>
                  <wp:docPr id="1" name="LPThumbnailImageId239661" descr="https://thumb.app.viostream.com/c-rd19b9e/og.png?cb=638571121053447418">
                    <a:hlinkClick xmlns:a="http://schemas.openxmlformats.org/drawingml/2006/main" r:id="rId9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PThumbnailImageId239661" descr="https://thumb.app.viostream.com/c-rd19b9e/og.png?cb=6385711210534474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198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A1A11" w:rsidRDefault="000A1A11">
            <w:pPr>
              <w:rPr>
                <w:rFonts w:ascii="Segoe UI Light" w:eastAsia="Times New Roman" w:hAnsi="Segoe UI Light" w:cs="Segoe UI Light"/>
                <w:sz w:val="32"/>
                <w:szCs w:val="32"/>
              </w:rPr>
            </w:pPr>
            <w:hyperlink r:id="rId11" w:tgtFrame="_blank" w:history="1">
              <w:r>
                <w:rPr>
                  <w:rStyle w:val="Hyperlink"/>
                  <w:rFonts w:ascii="Segoe UI Light" w:eastAsia="Times New Roman" w:hAnsi="Segoe UI Light" w:cs="Segoe UI Light"/>
                  <w:sz w:val="32"/>
                  <w:szCs w:val="32"/>
                  <w:u w:val="none"/>
                </w:rPr>
                <w:t>Not-for-profit</w:t>
              </w:r>
            </w:hyperlink>
          </w:p>
          <w:p w:rsidR="000A1A11" w:rsidRDefault="000A1A11">
            <w:pPr>
              <w:rPr>
                <w:rFonts w:ascii="Segoe UI" w:eastAsia="Times New Roman" w:hAnsi="Segoe UI" w:cs="Segoe UI"/>
                <w:color w:val="666666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666666"/>
                <w:sz w:val="21"/>
                <w:szCs w:val="21"/>
              </w:rPr>
              <w:t xml:space="preserve">Tax and super information for not-for-profit </w:t>
            </w:r>
            <w:proofErr w:type="spellStart"/>
            <w:r>
              <w:rPr>
                <w:rFonts w:ascii="Segoe UI" w:eastAsia="Times New Roman" w:hAnsi="Segoe UI" w:cs="Segoe UI"/>
                <w:color w:val="666666"/>
                <w:sz w:val="21"/>
                <w:szCs w:val="21"/>
              </w:rPr>
              <w:t>organisations</w:t>
            </w:r>
            <w:proofErr w:type="spellEnd"/>
            <w:r>
              <w:rPr>
                <w:rFonts w:ascii="Segoe UI" w:eastAsia="Times New Roman" w:hAnsi="Segoe UI" w:cs="Segoe UI"/>
                <w:color w:val="666666"/>
                <w:sz w:val="21"/>
                <w:szCs w:val="21"/>
              </w:rPr>
              <w:t>.</w:t>
            </w:r>
          </w:p>
          <w:p w:rsidR="000A1A11" w:rsidRDefault="000A1A11">
            <w:pPr>
              <w:rPr>
                <w:rFonts w:ascii="Segoe UI" w:eastAsia="Times New Roman" w:hAnsi="Segoe UI" w:cs="Segoe UI"/>
                <w:color w:val="A6A6A6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A6A6A6"/>
                <w:sz w:val="21"/>
                <w:szCs w:val="21"/>
              </w:rPr>
              <w:t>tv.ato.gov.au</w:t>
            </w:r>
          </w:p>
        </w:tc>
      </w:tr>
    </w:tbl>
    <w:p w:rsidR="002B26B4" w:rsidRDefault="002B26B4"/>
    <w:p w:rsidR="000A1A11" w:rsidRDefault="000A1A11" w:rsidP="000A1A11">
      <w:pPr>
        <w:rPr>
          <w:rFonts w:ascii="Aptos" w:eastAsia="Times New Roman" w:hAnsi="Aptos"/>
          <w:color w:val="000000"/>
        </w:rPr>
      </w:pPr>
    </w:p>
    <w:p w:rsidR="000A1A11" w:rsidRDefault="000A1A11" w:rsidP="000A1A11">
      <w:pPr>
        <w:rPr>
          <w:rFonts w:ascii="Aptos" w:eastAsia="Times New Roman" w:hAnsi="Aptos"/>
          <w:color w:val="000000"/>
        </w:rPr>
      </w:pPr>
    </w:p>
    <w:p w:rsidR="000A1A11" w:rsidRDefault="000A1A11" w:rsidP="000A1A11">
      <w:pPr>
        <w:rPr>
          <w:rFonts w:ascii="Aptos" w:eastAsia="Times New Roman" w:hAnsi="Aptos"/>
          <w:color w:val="000000"/>
        </w:rPr>
      </w:pPr>
      <w:hyperlink r:id="rId12" w:history="1">
        <w:r>
          <w:rPr>
            <w:rStyle w:val="Hyperlink"/>
            <w:rFonts w:ascii="Aptos" w:eastAsia="Times New Roman" w:hAnsi="Aptos"/>
          </w:rPr>
          <w:t>https://tv.ato.gov.au/media/c-b6bh5x9/bi9or7orfgpdsm</w:t>
        </w:r>
      </w:hyperlink>
    </w:p>
    <w:tbl>
      <w:tblPr>
        <w:tblW w:w="5000" w:type="pct"/>
        <w:tblCellSpacing w:w="15" w:type="dxa"/>
        <w:tblBorders>
          <w:top w:val="single" w:sz="6" w:space="0" w:color="C8C8C8"/>
          <w:left w:val="single" w:sz="6" w:space="0" w:color="C8C8C8"/>
          <w:bottom w:val="single" w:sz="6" w:space="0" w:color="C8C8C8"/>
          <w:right w:val="single" w:sz="6" w:space="0" w:color="C8C8C8"/>
        </w:tblBorders>
        <w:tblCellMar>
          <w:top w:w="180" w:type="dxa"/>
          <w:left w:w="180" w:type="dxa"/>
          <w:bottom w:w="180" w:type="dxa"/>
          <w:right w:w="540" w:type="dxa"/>
        </w:tblCellMar>
        <w:tblLook w:val="04A0"/>
      </w:tblPr>
      <w:tblGrid>
        <w:gridCol w:w="4395"/>
        <w:gridCol w:w="5745"/>
      </w:tblGrid>
      <w:tr w:rsidR="000A1A11" w:rsidTr="000A1A1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0A1A11" w:rsidRDefault="000A1A11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  <w:color w:val="0000FF"/>
              </w:rPr>
              <w:lastRenderedPageBreak/>
              <w:drawing>
                <wp:inline distT="0" distB="0" distL="0" distR="0">
                  <wp:extent cx="2286000" cy="1198880"/>
                  <wp:effectExtent l="19050" t="0" r="0" b="0"/>
                  <wp:docPr id="6" name="LPThumbnailImageId669652" descr="https://thumb.app.viostream.com/c-rd19b9e/og.png?cb=638571121173723197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PThumbnailImageId669652" descr="https://thumb.app.viostream.com/c-rd19b9e/og.png?cb=638571121173723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1198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A1A11" w:rsidRDefault="000A1A11">
            <w:pPr>
              <w:rPr>
                <w:rFonts w:ascii="Segoe UI Light" w:eastAsia="Times New Roman" w:hAnsi="Segoe UI Light" w:cs="Segoe UI Light"/>
                <w:sz w:val="32"/>
                <w:szCs w:val="32"/>
              </w:rPr>
            </w:pPr>
            <w:hyperlink r:id="rId13" w:tgtFrame="_blank" w:history="1">
              <w:r>
                <w:rPr>
                  <w:rStyle w:val="Hyperlink"/>
                  <w:rFonts w:ascii="Segoe UI Light" w:eastAsia="Times New Roman" w:hAnsi="Segoe UI Light" w:cs="Segoe UI Light"/>
                  <w:sz w:val="32"/>
                  <w:szCs w:val="32"/>
                  <w:u w:val="none"/>
                </w:rPr>
                <w:t>New reporting requirements for not-for-profits</w:t>
              </w:r>
            </w:hyperlink>
          </w:p>
          <w:p w:rsidR="000A1A11" w:rsidRDefault="000A1A11">
            <w:pPr>
              <w:rPr>
                <w:rFonts w:ascii="Segoe UI" w:eastAsia="Times New Roman" w:hAnsi="Segoe UI" w:cs="Segoe UI"/>
                <w:color w:val="666666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666666"/>
                <w:sz w:val="21"/>
                <w:szCs w:val="21"/>
              </w:rPr>
              <w:t>From 1 July 2024, non-charitable NFPs with an active Australian business number (ABN) must lodge an annual NFP self-review return to self-assess as income tax e...</w:t>
            </w:r>
          </w:p>
          <w:p w:rsidR="000A1A11" w:rsidRDefault="000A1A11">
            <w:pPr>
              <w:rPr>
                <w:rFonts w:ascii="Segoe UI" w:eastAsia="Times New Roman" w:hAnsi="Segoe UI" w:cs="Segoe UI"/>
                <w:color w:val="A6A6A6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color w:val="A6A6A6"/>
                <w:sz w:val="21"/>
                <w:szCs w:val="21"/>
              </w:rPr>
              <w:t>tv.ato.gov.au</w:t>
            </w:r>
          </w:p>
        </w:tc>
      </w:tr>
    </w:tbl>
    <w:p w:rsidR="000A1A11" w:rsidRDefault="000A1A11"/>
    <w:p w:rsidR="000A1A11" w:rsidRDefault="000A1A11"/>
    <w:sectPr w:rsidR="000A1A11" w:rsidSect="002B26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A1A11"/>
    <w:rsid w:val="000A1A11"/>
    <w:rsid w:val="002B26B4"/>
    <w:rsid w:val="00354CB1"/>
    <w:rsid w:val="00A16DAC"/>
    <w:rsid w:val="00D5308F"/>
    <w:rsid w:val="00F06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11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1A1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A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A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674E"/>
    <w:rPr>
      <w:lang w:val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5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merce.wa.gov.au/consumer-protection/associations-information-statement" TargetMode="External"/><Relationship Id="rId13" Type="http://schemas.openxmlformats.org/officeDocument/2006/relationships/hyperlink" Target="https://tv.ato.gov.au/media/c-b6bh5x9/bi9or7orfgpds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mmerce.wa.gov.au/publications/managing-my-associations-details-associationsonline-help-guide-3" TargetMode="External"/><Relationship Id="rId12" Type="http://schemas.openxmlformats.org/officeDocument/2006/relationships/hyperlink" Target="https://tv.ato.gov.au/media/c-b6bh5x9/bi9or7orfgpds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mmerce.wa.gov.au/consumer-protection/associations-online" TargetMode="External"/><Relationship Id="rId11" Type="http://schemas.openxmlformats.org/officeDocument/2006/relationships/hyperlink" Target="https://tv.ato.gov.au/section/c-b6bh5x9" TargetMode="External"/><Relationship Id="rId5" Type="http://schemas.openxmlformats.org/officeDocument/2006/relationships/hyperlink" Target="https://associations.commerce.wa.gov.au/associations/public/enrol.jspx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hyperlink" Target="https://associations.commerce.wa.gov.au/associations/public/publicHomePage.jspx" TargetMode="External"/><Relationship Id="rId9" Type="http://schemas.openxmlformats.org/officeDocument/2006/relationships/hyperlink" Target="https://tv.ato.gov.au/section/c-b6bh5x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</dc:creator>
  <cp:lastModifiedBy>Wendy</cp:lastModifiedBy>
  <cp:revision>3</cp:revision>
  <dcterms:created xsi:type="dcterms:W3CDTF">2024-07-28T02:33:00Z</dcterms:created>
  <dcterms:modified xsi:type="dcterms:W3CDTF">2024-07-28T03:11:00Z</dcterms:modified>
</cp:coreProperties>
</file>